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A507" w14:textId="7340D716" w:rsidR="00FE4923" w:rsidRDefault="00CE32AF" w:rsidP="005155A5">
      <w:pPr>
        <w:ind w:left="-426"/>
      </w:pPr>
      <w:r>
        <w:tab/>
      </w:r>
    </w:p>
    <w:p w14:paraId="22F5ADC3" w14:textId="3E1DCB2D" w:rsidR="005155A5" w:rsidRDefault="005155A5" w:rsidP="005155A5">
      <w:pPr>
        <w:ind w:left="-426"/>
      </w:pPr>
    </w:p>
    <w:p w14:paraId="198EFF60" w14:textId="77777777" w:rsidR="005155A5" w:rsidRDefault="005155A5" w:rsidP="005155A5">
      <w:pPr>
        <w:ind w:left="-426"/>
      </w:pPr>
    </w:p>
    <w:p w14:paraId="1A7B0B73" w14:textId="77777777" w:rsidR="005155A5" w:rsidRDefault="005155A5" w:rsidP="005155A5">
      <w:pPr>
        <w:ind w:left="-426"/>
      </w:pPr>
    </w:p>
    <w:p w14:paraId="421A3524" w14:textId="0143FE6A" w:rsidR="005155A5" w:rsidRDefault="005155A5" w:rsidP="005155A5">
      <w:pPr>
        <w:ind w:left="-426"/>
      </w:pPr>
    </w:p>
    <w:p w14:paraId="57774EE4" w14:textId="77777777" w:rsidR="005155A5" w:rsidRDefault="005155A5" w:rsidP="005155A5">
      <w:pPr>
        <w:spacing w:before="60" w:after="120" w:line="360" w:lineRule="auto"/>
        <w:jc w:val="center"/>
        <w:rPr>
          <w:rFonts w:ascii="Calibri" w:eastAsia="Times New Roman" w:hAnsi="Calibri" w:cs="Calibri"/>
          <w:b/>
          <w:color w:val="002060"/>
          <w:kern w:val="0"/>
          <w:sz w:val="32"/>
          <w:szCs w:val="36"/>
          <w:lang w:eastAsia="it-IT"/>
          <w14:ligatures w14:val="none"/>
        </w:rPr>
      </w:pPr>
    </w:p>
    <w:p w14:paraId="2405087A" w14:textId="35820144" w:rsidR="005155A5" w:rsidRPr="005155A5" w:rsidRDefault="005155A5" w:rsidP="005155A5">
      <w:pPr>
        <w:spacing w:before="60" w:after="120" w:line="360" w:lineRule="auto"/>
        <w:jc w:val="center"/>
        <w:rPr>
          <w:rFonts w:ascii="Calibri" w:eastAsia="Times New Roman" w:hAnsi="Calibri" w:cs="Calibri"/>
          <w:b/>
          <w:color w:val="002060"/>
          <w:kern w:val="0"/>
          <w:sz w:val="32"/>
          <w:szCs w:val="36"/>
          <w:lang w:eastAsia="it-IT"/>
          <w14:ligatures w14:val="none"/>
        </w:rPr>
      </w:pPr>
      <w:r w:rsidRPr="009E024F">
        <w:rPr>
          <w:noProof/>
        </w:rPr>
        <w:drawing>
          <wp:anchor distT="0" distB="0" distL="114300" distR="114300" simplePos="0" relativeHeight="251659264" behindDoc="1" locked="0" layoutInCell="1" allowOverlap="1" wp14:anchorId="79E83F0D" wp14:editId="26560AC0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4287965" cy="1724025"/>
            <wp:effectExtent l="0" t="0" r="0" b="0"/>
            <wp:wrapNone/>
            <wp:docPr id="15570289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97224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96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E3044" w14:textId="1A5051FC" w:rsidR="005155A5" w:rsidRDefault="005155A5" w:rsidP="005155A5">
      <w:pPr>
        <w:spacing w:before="60" w:after="120" w:line="36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8EC5A44" w14:textId="77777777" w:rsidR="005155A5" w:rsidRPr="005155A5" w:rsidRDefault="005155A5" w:rsidP="005155A5">
      <w:pPr>
        <w:spacing w:before="60" w:after="120" w:line="36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135E6E2F" w14:textId="6E1125BF" w:rsidR="005155A5" w:rsidRPr="005155A5" w:rsidRDefault="005155A5" w:rsidP="005155A5">
      <w:pPr>
        <w:spacing w:before="60" w:after="120" w:line="360" w:lineRule="auto"/>
        <w:jc w:val="center"/>
        <w:rPr>
          <w:rFonts w:ascii="Calibri" w:eastAsia="Times New Roman" w:hAnsi="Calibri" w:cs="Calibri"/>
          <w:b/>
          <w:color w:val="002060"/>
          <w:kern w:val="0"/>
          <w:sz w:val="32"/>
          <w:szCs w:val="36"/>
          <w:lang w:eastAsia="it-IT"/>
          <w14:ligatures w14:val="none"/>
        </w:rPr>
      </w:pPr>
    </w:p>
    <w:p w14:paraId="7183A409" w14:textId="6767BB2A" w:rsidR="005155A5" w:rsidRDefault="005155A5" w:rsidP="005155A5">
      <w:pPr>
        <w:spacing w:line="360" w:lineRule="auto"/>
        <w:jc w:val="center"/>
        <w:rPr>
          <w:rFonts w:ascii="Roboto" w:eastAsia="Times New Roman" w:hAnsi="Roboto" w:cs="Calibri"/>
          <w:b/>
          <w:color w:val="00B050"/>
          <w:kern w:val="0"/>
          <w:sz w:val="72"/>
          <w:szCs w:val="72"/>
          <w:lang w:eastAsia="it-IT"/>
          <w14:ligatures w14:val="none"/>
        </w:rPr>
      </w:pPr>
    </w:p>
    <w:p w14:paraId="385F56F9" w14:textId="6CE10530" w:rsidR="005155A5" w:rsidRDefault="005155A5" w:rsidP="005155A5">
      <w:pPr>
        <w:spacing w:line="360" w:lineRule="auto"/>
        <w:jc w:val="center"/>
        <w:rPr>
          <w:rFonts w:ascii="Roboto" w:eastAsia="Times New Roman" w:hAnsi="Roboto" w:cs="Calibri"/>
          <w:b/>
          <w:color w:val="00B050"/>
          <w:kern w:val="0"/>
          <w:sz w:val="72"/>
          <w:szCs w:val="72"/>
          <w:lang w:eastAsia="it-IT"/>
          <w14:ligatures w14:val="none"/>
        </w:rPr>
      </w:pPr>
    </w:p>
    <w:p w14:paraId="28B5AD82" w14:textId="2C783762" w:rsidR="005155A5" w:rsidRPr="005155A5" w:rsidRDefault="005155A5" w:rsidP="005155A5">
      <w:pPr>
        <w:spacing w:line="360" w:lineRule="auto"/>
        <w:jc w:val="center"/>
        <w:rPr>
          <w:rFonts w:ascii="Roboto" w:eastAsia="Times New Roman" w:hAnsi="Roboto" w:cs="Calibri"/>
          <w:b/>
          <w:color w:val="33CC33"/>
          <w:kern w:val="0"/>
          <w:sz w:val="72"/>
          <w:szCs w:val="72"/>
          <w:lang w:eastAsia="it-IT"/>
          <w14:ligatures w14:val="none"/>
        </w:rPr>
      </w:pPr>
      <w:r w:rsidRPr="005155A5">
        <w:rPr>
          <w:rFonts w:ascii="Roboto" w:eastAsia="Times New Roman" w:hAnsi="Roboto" w:cs="Calibri"/>
          <w:b/>
          <w:color w:val="33CC33"/>
          <w:kern w:val="0"/>
          <w:sz w:val="72"/>
          <w:szCs w:val="72"/>
          <w:lang w:eastAsia="it-IT"/>
          <w14:ligatures w14:val="none"/>
        </w:rPr>
        <w:t xml:space="preserve">POLITICA PER LA PARITÀ </w:t>
      </w:r>
    </w:p>
    <w:p w14:paraId="5CCE230D" w14:textId="77777777" w:rsidR="005155A5" w:rsidRDefault="005155A5" w:rsidP="005155A5">
      <w:pPr>
        <w:spacing w:line="360" w:lineRule="auto"/>
        <w:jc w:val="center"/>
        <w:rPr>
          <w:rFonts w:ascii="Roboto" w:eastAsia="Times New Roman" w:hAnsi="Roboto" w:cs="Calibri"/>
          <w:b/>
          <w:color w:val="33CC33"/>
          <w:kern w:val="0"/>
          <w:sz w:val="72"/>
          <w:szCs w:val="72"/>
          <w:lang w:eastAsia="it-IT"/>
          <w14:ligatures w14:val="none"/>
        </w:rPr>
      </w:pPr>
      <w:r w:rsidRPr="005155A5">
        <w:rPr>
          <w:rFonts w:ascii="Roboto" w:eastAsia="Times New Roman" w:hAnsi="Roboto" w:cs="Calibri"/>
          <w:b/>
          <w:color w:val="33CC33"/>
          <w:kern w:val="0"/>
          <w:sz w:val="72"/>
          <w:szCs w:val="72"/>
          <w:lang w:eastAsia="it-IT"/>
          <w14:ligatures w14:val="none"/>
        </w:rPr>
        <w:t>DI GENERE E COLLEGATE</w:t>
      </w:r>
    </w:p>
    <w:p w14:paraId="03BF7230" w14:textId="77777777" w:rsidR="003F2739" w:rsidRPr="003F2739" w:rsidRDefault="003F2739" w:rsidP="005155A5">
      <w:pPr>
        <w:spacing w:line="360" w:lineRule="auto"/>
        <w:jc w:val="center"/>
        <w:rPr>
          <w:rFonts w:ascii="Roboto" w:eastAsia="Times New Roman" w:hAnsi="Roboto" w:cs="Calibri"/>
          <w:b/>
          <w:color w:val="33CC33"/>
          <w:kern w:val="0"/>
          <w:sz w:val="40"/>
          <w:szCs w:val="40"/>
          <w:lang w:eastAsia="it-IT"/>
          <w14:ligatures w14:val="none"/>
        </w:rPr>
      </w:pPr>
    </w:p>
    <w:p w14:paraId="0BB3BEB1" w14:textId="77777777" w:rsidR="003F2739" w:rsidRPr="003F2739" w:rsidRDefault="003F2739" w:rsidP="003F2739">
      <w:pPr>
        <w:spacing w:line="360" w:lineRule="auto"/>
        <w:jc w:val="center"/>
        <w:rPr>
          <w:rFonts w:ascii="Roboto" w:eastAsia="Times New Roman" w:hAnsi="Roboto" w:cs="Calibri"/>
          <w:b/>
          <w:color w:val="33CC33"/>
          <w:kern w:val="0"/>
          <w:sz w:val="40"/>
          <w:szCs w:val="40"/>
          <w:lang w:eastAsia="it-IT"/>
          <w14:ligatures w14:val="none"/>
        </w:rPr>
      </w:pPr>
    </w:p>
    <w:p w14:paraId="09A75642" w14:textId="77777777" w:rsidR="003F2739" w:rsidRPr="00263F13" w:rsidRDefault="003F2739" w:rsidP="003F2739">
      <w:pPr>
        <w:shd w:val="clear" w:color="auto" w:fill="99FF99"/>
        <w:ind w:left="-426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>Rev.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ab/>
        <w:t>Data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ab/>
        <w:t>Motivazione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ab/>
        <w:t>Redazione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  <w:tab/>
        <w:t>Approvazione</w:t>
      </w:r>
    </w:p>
    <w:p w14:paraId="73A4E02A" w14:textId="3A3E98B9" w:rsidR="003F2739" w:rsidRPr="00263F13" w:rsidRDefault="003F2739" w:rsidP="003F2739">
      <w:pPr>
        <w:shd w:val="clear" w:color="auto" w:fill="E7E6E6" w:themeFill="background2"/>
        <w:ind w:left="-426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00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 w:rsidRPr="00263F1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 w:rsidR="00BC2B9B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02/04/2026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 w:rsidRPr="00263F1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Prima Emissione</w:t>
      </w:r>
      <w:r w:rsidRPr="00263F1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 w:rsidRPr="00263F1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  <w:t>Re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 xml:space="preserve">sp.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PdG</w:t>
      </w:r>
      <w:proofErr w:type="spellEnd"/>
      <w:r w:rsidRPr="00263F1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 w:rsidRPr="00263F1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Comitato Guida</w:t>
      </w:r>
    </w:p>
    <w:p w14:paraId="1738A252" w14:textId="77777777" w:rsidR="003F2739" w:rsidRDefault="003F2739" w:rsidP="003F2739">
      <w:pPr>
        <w:shd w:val="clear" w:color="auto" w:fill="E7E6E6" w:themeFill="background2"/>
        <w:ind w:left="-426"/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-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 w:rsidRPr="00263F13"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-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  <w:t>-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  <w:t>-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  <w:t>-</w:t>
      </w:r>
    </w:p>
    <w:p w14:paraId="72B7EF64" w14:textId="77777777" w:rsidR="003F2739" w:rsidRDefault="003F2739" w:rsidP="003F2739">
      <w:pPr>
        <w:shd w:val="clear" w:color="auto" w:fill="E7E6E6" w:themeFill="background2"/>
        <w:ind w:left="-426"/>
        <w:rPr>
          <w:rFonts w:ascii="Roboto" w:eastAsia="Times New Roman" w:hAnsi="Roboto" w:cs="Calibri"/>
          <w:b/>
          <w:bCs/>
          <w:color w:val="00206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>-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  <w:t>-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  <w:t>-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  <w:t>-</w:t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lang w:eastAsia="it-IT"/>
          <w14:ligatures w14:val="none"/>
        </w:rPr>
        <w:tab/>
        <w:t>-</w:t>
      </w:r>
    </w:p>
    <w:p w14:paraId="36531B12" w14:textId="77777777" w:rsidR="003F2739" w:rsidRPr="005155A5" w:rsidRDefault="003F2739" w:rsidP="005155A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2829169" w14:textId="77777777" w:rsidR="005155A5" w:rsidRPr="00633683" w:rsidRDefault="005155A5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  <w:r w:rsidRPr="00633683"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  <w:lastRenderedPageBreak/>
        <w:t>MISSION E VISIONE STRATEGICA</w:t>
      </w:r>
    </w:p>
    <w:p w14:paraId="240A9AA7" w14:textId="6FD6B000" w:rsidR="00633683" w:rsidRPr="003F2739" w:rsidRDefault="00633683" w:rsidP="00633683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GSE SRL è General Contractor nel settore delle costruzioni, in cui opera anche come promotore di iniziative in project </w:t>
      </w:r>
      <w:proofErr w:type="spellStart"/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finance</w:t>
      </w:r>
      <w:proofErr w:type="spellEnd"/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e si propone al mercato sviluppando iniziative complesse e integrate (progettazione, costruzione, gestione), con una expertise solida e risorse umane altamente specializzate.</w:t>
      </w:r>
    </w:p>
    <w:p w14:paraId="45DBCC37" w14:textId="7B0BDB1E" w:rsidR="00633683" w:rsidRPr="003F2739" w:rsidRDefault="00633683" w:rsidP="00633683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L’ Azienda è specializzata nell’esecuzione chiavi in mano di edifici civili, industriali, ristrutturazioni, </w:t>
      </w:r>
      <w:proofErr w:type="spellStart"/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bio</w:t>
      </w:r>
      <w:proofErr w:type="spellEnd"/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-edilizia e infrastrutture sia in ambito pubblico che privato.</w:t>
      </w:r>
    </w:p>
    <w:p w14:paraId="2832F4C5" w14:textId="04399635" w:rsidR="00633683" w:rsidRPr="003F2739" w:rsidRDefault="00633683" w:rsidP="00633683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GSE SRL possiede l’attestato </w:t>
      </w:r>
      <w:r w:rsidRPr="003F2739">
        <w:rPr>
          <w:rFonts w:ascii="Calibri" w:eastAsia="Times New Roman" w:hAnsi="Calibri" w:cs="Calibri"/>
          <w:b/>
          <w:bCs/>
          <w:color w:val="002060"/>
          <w:kern w:val="0"/>
          <w:lang w:eastAsia="it-IT"/>
          <w14:ligatures w14:val="none"/>
        </w:rPr>
        <w:t>SOA CQOP n° 64179/10/00</w:t>
      </w: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per le seguenti categorie di esecuzione Lavori Pubblici:</w:t>
      </w:r>
    </w:p>
    <w:p w14:paraId="45E4E210" w14:textId="77777777" w:rsidR="00633683" w:rsidRPr="003F2739" w:rsidRDefault="00633683" w:rsidP="00633683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- OG1: Edifici civili ed industriali</w:t>
      </w: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ab/>
      </w: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ab/>
      </w: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ab/>
        <w:t xml:space="preserve"> Classifica V (fino ad € 5.165.000)</w:t>
      </w:r>
    </w:p>
    <w:p w14:paraId="78C15800" w14:textId="14E5D4AB" w:rsidR="00633683" w:rsidRPr="003F2739" w:rsidRDefault="00633683" w:rsidP="00633683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- OG3: Opere stradali, ponti e viadotti</w:t>
      </w: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ab/>
      </w: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ab/>
        <w:t xml:space="preserve"> Classifica III (fino ad € 1.033.000)</w:t>
      </w:r>
    </w:p>
    <w:p w14:paraId="11602267" w14:textId="246DFEC5" w:rsidR="00633683" w:rsidRPr="003F2739" w:rsidRDefault="00633683" w:rsidP="00633683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GSE SRL è certificata </w:t>
      </w:r>
      <w:r w:rsidRPr="003F2739">
        <w:rPr>
          <w:rFonts w:ascii="Calibri" w:eastAsia="Times New Roman" w:hAnsi="Calibri" w:cs="Calibri"/>
          <w:b/>
          <w:bCs/>
          <w:color w:val="002060"/>
          <w:kern w:val="0"/>
          <w:lang w:eastAsia="it-IT"/>
          <w14:ligatures w14:val="none"/>
        </w:rPr>
        <w:t>ISO 9001:2015</w:t>
      </w: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- SGS certificato N° IT 11/0322</w:t>
      </w:r>
    </w:p>
    <w:p w14:paraId="1FCE2EEC" w14:textId="77777777" w:rsidR="00633683" w:rsidRPr="003F2739" w:rsidRDefault="00633683" w:rsidP="00633683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AMBITI DI INTERVENTO:</w:t>
      </w:r>
    </w:p>
    <w:p w14:paraId="43EAD8AB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Gestione commesse pubbliche per aziende e/o professionisti</w:t>
      </w:r>
    </w:p>
    <w:p w14:paraId="2386F628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Gestione commesse private per aziende e/o professionisti</w:t>
      </w:r>
    </w:p>
    <w:p w14:paraId="0B9E34CD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Gestione lavori in general contractor per pubblici e privati</w:t>
      </w:r>
    </w:p>
    <w:p w14:paraId="4F5C4EE6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Gestione cantieri edili/stradali</w:t>
      </w:r>
    </w:p>
    <w:p w14:paraId="234BB0C3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Gestione contratti e contabilità</w:t>
      </w:r>
    </w:p>
    <w:p w14:paraId="1C8D4083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Servizio di manutenzione periodica programmata per aziende e/o soggetti pubblici</w:t>
      </w:r>
    </w:p>
    <w:p w14:paraId="71F091EA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Servizio consulenza tecnica su lavori pubblici/privati</w:t>
      </w:r>
    </w:p>
    <w:p w14:paraId="351AC448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Servizio di stesura computi metrici estimativi</w:t>
      </w:r>
    </w:p>
    <w:p w14:paraId="5EE8C4D0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Servizio pratiche catastali e topografie</w:t>
      </w:r>
    </w:p>
    <w:p w14:paraId="22D3446B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Servizio di progettazione esecutiva</w:t>
      </w:r>
    </w:p>
    <w:p w14:paraId="1DF48315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Servizio preventivazione</w:t>
      </w:r>
    </w:p>
    <w:p w14:paraId="11DCE06C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Esecuzione lavori di manutenzione ordinaria e straordinaria</w:t>
      </w:r>
    </w:p>
    <w:p w14:paraId="619A4807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Esecuzione lavori di adeguamento normativo fabbricati</w:t>
      </w:r>
    </w:p>
    <w:p w14:paraId="76CA289B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lastRenderedPageBreak/>
        <w:t>Esecuzione opere edili di qualunque genere</w:t>
      </w:r>
    </w:p>
    <w:p w14:paraId="4484AA02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Esecuzione lavori in general contractor</w:t>
      </w:r>
    </w:p>
    <w:p w14:paraId="307AF78D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Esecuzione lavori di finitura d’interni</w:t>
      </w:r>
    </w:p>
    <w:p w14:paraId="7877BA7B" w14:textId="77777777" w:rsidR="00633683" w:rsidRPr="003F2739" w:rsidRDefault="00633683" w:rsidP="003F2739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3F2739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Esecuzione opere di ristrutturazione</w:t>
      </w:r>
    </w:p>
    <w:p w14:paraId="3D6F3E05" w14:textId="77777777" w:rsidR="003F2739" w:rsidRDefault="003F2739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</w:p>
    <w:p w14:paraId="3F606B46" w14:textId="1EFBD035" w:rsidR="005155A5" w:rsidRPr="00633683" w:rsidRDefault="005155A5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  <w:r w:rsidRPr="00633683"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  <w:t xml:space="preserve">IL PERCORSO VERSO LA PARITÀ DI GENERE </w:t>
      </w:r>
    </w:p>
    <w:p w14:paraId="7100409B" w14:textId="7D1722A6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Con l’obiettivo di svolgere al meglio la propria missione e in coerenza con la visione strategica, </w:t>
      </w:r>
      <w:r w:rsidR="00633683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GSE SRL</w:t>
      </w:r>
      <w:r w:rsidRPr="005155A5">
        <w:rPr>
          <w:rFonts w:ascii="Calibri" w:eastAsia="Times New Roman" w:hAnsi="Calibri" w:cs="Calibri"/>
          <w:i/>
          <w:iCs/>
          <w:color w:val="002060"/>
          <w:kern w:val="0"/>
          <w:lang w:eastAsia="it-IT"/>
          <w14:ligatures w14:val="none"/>
        </w:rPr>
        <w:t xml:space="preserve"> 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ha deciso di adottare un Sistema di Gestione per la Parità di Genere (SGPG) conforme alla UNI/PdR125:2022, quale valido strumento per assicurare la parità di genere relativa alla presenza e alla crescita professionale delle donne, valorizzando la cultura inclusiva e l’attivazione di processi in grado di sviluppare l’empowerment femminile.</w:t>
      </w:r>
    </w:p>
    <w:p w14:paraId="31BB74E4" w14:textId="4915794F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Il conseguimento della certificazione per</w:t>
      </w:r>
      <w:r w:rsidR="00633683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</w:t>
      </w:r>
      <w:r w:rsidR="00633683" w:rsidRPr="00633683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GSE SRL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rappresenterà solo il primo tassello di un percorso d’implementazione delle politiche di parità di genere, nell’ottica del miglioramento e della promozione dell’uguaglianza di genere.</w:t>
      </w:r>
      <w:r w:rsidRPr="005155A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it-IT"/>
          <w14:ligatures w14:val="none"/>
        </w:rPr>
        <w:t xml:space="preserve"> 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La certificazione, infatti, ha l’obiettivo di accompagnare e incentivare l’organizzazione </w:t>
      </w:r>
      <w:proofErr w:type="gramStart"/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ad</w:t>
      </w:r>
      <w:proofErr w:type="gramEnd"/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adottare policy idonee a ridurre il divario di genere con i conseguenti benefici per il benessere del personale, oltre agli impatti reputazionali ed etici.</w:t>
      </w:r>
    </w:p>
    <w:p w14:paraId="7F802EF5" w14:textId="77777777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</w:p>
    <w:p w14:paraId="73966EED" w14:textId="77777777" w:rsidR="005155A5" w:rsidRPr="00633683" w:rsidRDefault="005155A5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  <w:r w:rsidRPr="00633683"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  <w:t>I PRINCIPI ISPIRATORI</w:t>
      </w:r>
    </w:p>
    <w:p w14:paraId="6D2A7919" w14:textId="51A3D0D7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proofErr w:type="gramStart"/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I Principi fondamentali alla base della Politica per la Parità di Genere </w:t>
      </w:r>
      <w:bookmarkStart w:id="0" w:name="_Hlk140570851"/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di </w:t>
      </w:r>
      <w:bookmarkEnd w:id="0"/>
      <w:r w:rsidR="00633683" w:rsidRPr="00633683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GSE SRL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,</w:t>
      </w:r>
      <w:proofErr w:type="gramEnd"/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sono:</w:t>
      </w:r>
    </w:p>
    <w:p w14:paraId="170AEF20" w14:textId="4B4FB7A4" w:rsidR="00633683" w:rsidRPr="00633683" w:rsidRDefault="00633683" w:rsidP="00633683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CONTRASTO AD OGNI FORMA DI VIOLENZA E DISCRIMINAZIONE</w:t>
      </w:r>
    </w:p>
    <w:p w14:paraId="1174AFCB" w14:textId="3CEACEC3" w:rsidR="005155A5" w:rsidRPr="005155A5" w:rsidRDefault="005155A5" w:rsidP="005155A5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IMPARZIALITÀ E INCLUSIVITÀ</w:t>
      </w:r>
    </w:p>
    <w:p w14:paraId="4488AE07" w14:textId="77777777" w:rsidR="005155A5" w:rsidRPr="005155A5" w:rsidRDefault="005155A5" w:rsidP="005155A5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CORRETTEZZA E TRASPARENZA</w:t>
      </w:r>
    </w:p>
    <w:p w14:paraId="4A890D9F" w14:textId="77777777" w:rsidR="005155A5" w:rsidRPr="005155A5" w:rsidRDefault="005155A5" w:rsidP="005155A5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VALORIZZAZIONE DEL PERSONALE</w:t>
      </w:r>
    </w:p>
    <w:p w14:paraId="06DC66C1" w14:textId="77777777" w:rsidR="005155A5" w:rsidRPr="005155A5" w:rsidRDefault="005155A5" w:rsidP="005155A5">
      <w:pPr>
        <w:numPr>
          <w:ilvl w:val="0"/>
          <w:numId w:val="2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TUTELA DELLA PERSONA</w:t>
      </w:r>
    </w:p>
    <w:p w14:paraId="5C13A191" w14:textId="4436E6BF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lastRenderedPageBreak/>
        <w:t xml:space="preserve">L’attenzione con la quale </w:t>
      </w:r>
      <w:r w:rsidR="00633683" w:rsidRPr="00633683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GSE SRL 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concentra i propri impegni, affinché il proprio SGPG soddisfi i requisiti specificati nella UNI/</w:t>
      </w:r>
      <w:proofErr w:type="spellStart"/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PdR</w:t>
      </w:r>
      <w:proofErr w:type="spellEnd"/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125:2022, è ispirato - in linea con la </w:t>
      </w:r>
      <w:r w:rsidRPr="005155A5">
        <w:rPr>
          <w:rFonts w:ascii="Calibri" w:eastAsia="Times New Roman" w:hAnsi="Calibri" w:cs="Calibri"/>
          <w:i/>
          <w:iCs/>
          <w:color w:val="002060"/>
          <w:kern w:val="0"/>
          <w:lang w:eastAsia="it-IT"/>
          <w14:ligatures w14:val="none"/>
        </w:rPr>
        <w:t xml:space="preserve">Strategia per la parità di genere 2020-2025 definita dall’Unione Europea 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- al perseguimento dei seguenti obiettivi:</w:t>
      </w:r>
    </w:p>
    <w:p w14:paraId="782A2D03" w14:textId="77777777" w:rsidR="005155A5" w:rsidRDefault="005155A5" w:rsidP="005155A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aumento della partecipazione delle donne al mercato del lavoro;</w:t>
      </w:r>
    </w:p>
    <w:p w14:paraId="0FEEFB3C" w14:textId="588F3940" w:rsidR="00A83B09" w:rsidRDefault="001D4176" w:rsidP="005155A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presenza bilanciata di uomini e donne in organico;</w:t>
      </w:r>
    </w:p>
    <w:p w14:paraId="42982AE0" w14:textId="0D1B518C" w:rsidR="00114C46" w:rsidRPr="005155A5" w:rsidRDefault="00114C46" w:rsidP="005155A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libertà di espressione e benessere psicofisico nel luogo di lavoro;</w:t>
      </w:r>
    </w:p>
    <w:p w14:paraId="050DB72B" w14:textId="77777777" w:rsidR="005155A5" w:rsidRPr="005155A5" w:rsidRDefault="005155A5" w:rsidP="005155A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riduzione del divario retributivo e pensionistico fra uomini e donne, anche per combattere la povertà femminile;</w:t>
      </w:r>
    </w:p>
    <w:p w14:paraId="7A388F76" w14:textId="77777777" w:rsidR="005155A5" w:rsidRPr="005155A5" w:rsidRDefault="005155A5" w:rsidP="005155A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promozione della parità tra uomo e donna nel processo decisionale;</w:t>
      </w:r>
    </w:p>
    <w:p w14:paraId="66E48D76" w14:textId="08C3777F" w:rsidR="005155A5" w:rsidRDefault="005155A5" w:rsidP="005155A5">
      <w:pPr>
        <w:numPr>
          <w:ilvl w:val="0"/>
          <w:numId w:val="1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contrasto agli stereotipi, alla violenza di genere e protezione e sostegno alle vittime</w:t>
      </w:r>
      <w:r w:rsidR="00633683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;</w:t>
      </w:r>
    </w:p>
    <w:p w14:paraId="17A222B2" w14:textId="77777777" w:rsidR="00114C46" w:rsidRDefault="00114C46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</w:p>
    <w:p w14:paraId="4FE5119A" w14:textId="09944184" w:rsidR="005155A5" w:rsidRPr="00633683" w:rsidRDefault="005155A5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  <w:r w:rsidRPr="00633683"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  <w:t>L’IMPEGNO DELLA DIREZIONE</w:t>
      </w:r>
    </w:p>
    <w:p w14:paraId="5554511A" w14:textId="737B137A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Per favorire il raggiungimento dei principi e degli obiettivi enunciati la Direzione di </w:t>
      </w:r>
      <w:r w:rsidR="00114C46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GSE SRL</w:t>
      </w:r>
      <w:r w:rsidRPr="005155A5">
        <w:rPr>
          <w:rFonts w:ascii="Calibri" w:eastAsia="Times New Roman" w:hAnsi="Calibri" w:cs="Calibri"/>
          <w:i/>
          <w:iCs/>
          <w:color w:val="002060"/>
          <w:kern w:val="0"/>
          <w:lang w:eastAsia="it-IT"/>
          <w14:ligatures w14:val="none"/>
        </w:rPr>
        <w:t xml:space="preserve"> 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ritiene fondamentale la continua adozione del SGPG al fine di sviluppare un modello organizzativo che promuova la parità di genere e valorizzi l’equità e l’inclusività.</w:t>
      </w:r>
    </w:p>
    <w:p w14:paraId="1EB83AD3" w14:textId="41B6019A" w:rsidR="005155A5" w:rsidRPr="005155A5" w:rsidRDefault="00114C46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A tal proposito </w:t>
      </w:r>
      <w:r w:rsidRPr="00114C46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GSE SRL</w:t>
      </w:r>
      <w:r w:rsidR="005155A5" w:rsidRPr="005155A5">
        <w:rPr>
          <w:rFonts w:ascii="Calibri" w:eastAsia="Times New Roman" w:hAnsi="Calibri" w:cs="Calibri"/>
          <w:i/>
          <w:iCs/>
          <w:color w:val="002060"/>
          <w:kern w:val="0"/>
          <w:lang w:eastAsia="it-IT"/>
          <w14:ligatures w14:val="none"/>
        </w:rPr>
        <w:t xml:space="preserve"> </w:t>
      </w:r>
      <w:r w:rsidR="005155A5"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si impegna:</w:t>
      </w:r>
    </w:p>
    <w:p w14:paraId="1CB5651B" w14:textId="77777777" w:rsidR="005155A5" w:rsidRPr="005155A5" w:rsidRDefault="005155A5" w:rsidP="005155A5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proofErr w:type="gramStart"/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ad</w:t>
      </w:r>
      <w:proofErr w:type="gramEnd"/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adottare strumenti per prevenire ogni forma di discriminazione di genere e per contrastare qualsiasi atto lesivo della dignità del personale, indipendentemente dal ruolo ricoperto e dal livello di responsabilità;</w:t>
      </w:r>
    </w:p>
    <w:p w14:paraId="75F475FA" w14:textId="77777777" w:rsidR="005155A5" w:rsidRPr="005155A5" w:rsidRDefault="005155A5" w:rsidP="005155A5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 valorizzare le diversità in ogni processo aziendale: dalla ricerca e selezione delle risorse umane all’accesso alla formazione, dalla definizione delle politiche retributive alla valutazione delle performance e all’attribuzione dei sistemi premianti, dalla selezione dei fornitori all’erogazione dei servizi/ fornitura dei prodotti;</w:t>
      </w:r>
    </w:p>
    <w:p w14:paraId="3E5EE85D" w14:textId="77777777" w:rsidR="005155A5" w:rsidRPr="005155A5" w:rsidRDefault="005155A5" w:rsidP="005155A5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lastRenderedPageBreak/>
        <w:t>a sostenere il welfare familiare dei propri dipendenti attraverso modalità di lavoro (</w:t>
      </w:r>
      <w:r w:rsidRPr="005155A5">
        <w:rPr>
          <w:rFonts w:ascii="Calibri" w:eastAsia="Times New Roman" w:hAnsi="Calibri" w:cs="Calibri"/>
          <w:i/>
          <w:iCs/>
          <w:color w:val="002060"/>
          <w:kern w:val="0"/>
          <w:lang w:eastAsia="it-IT"/>
          <w14:ligatures w14:val="none"/>
        </w:rPr>
        <w:t>smart working, part time, orari di lavoro flessibili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) tali da favorire la conciliazione tra attività professionale e vita privata;</w:t>
      </w:r>
    </w:p>
    <w:p w14:paraId="5A050B07" w14:textId="77777777" w:rsidR="005155A5" w:rsidRDefault="005155A5" w:rsidP="005155A5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a favorire azioni di informazione, sensibilizzazione, engagement del personale sui temi delle pari opportunità e dell’empowerment femminile, evitando stereotipi e promuovendo la visibilità del contributo femminile; </w:t>
      </w:r>
    </w:p>
    <w:p w14:paraId="021C74F6" w14:textId="58D1E638" w:rsidR="00114C46" w:rsidRPr="005155A5" w:rsidRDefault="00114C46" w:rsidP="005155A5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 fornire, con il proprio comportamento il modello esemplare per il rispetto della politica di parità di genere;</w:t>
      </w:r>
    </w:p>
    <w:p w14:paraId="0E85042E" w14:textId="77777777" w:rsidR="005155A5" w:rsidRPr="005155A5" w:rsidRDefault="005155A5" w:rsidP="005155A5">
      <w:pPr>
        <w:numPr>
          <w:ilvl w:val="0"/>
          <w:numId w:val="3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 promuovere una comunicazione, anche attraverso attività di marketing e pubblicità, che dichiari in modo trasparente la volontà di conseguire la parità di genere e valorizzare la diversità e supportare l’empowerment femminile.</w:t>
      </w:r>
    </w:p>
    <w:p w14:paraId="7F21542F" w14:textId="77777777" w:rsidR="00114C46" w:rsidRDefault="00114C46" w:rsidP="005155A5">
      <w:pPr>
        <w:tabs>
          <w:tab w:val="left" w:pos="1120"/>
        </w:tabs>
        <w:spacing w:before="60" w:after="120" w:line="360" w:lineRule="auto"/>
        <w:rPr>
          <w:rFonts w:ascii="Calibri Light" w:eastAsia="Times New Roman" w:hAnsi="Calibri Light" w:cs="Arial"/>
          <w:b/>
          <w:iCs/>
          <w:color w:val="4472C4" w:themeColor="accent1"/>
          <w:kern w:val="0"/>
          <w:lang w:eastAsia="it-IT"/>
          <w14:ligatures w14:val="none"/>
        </w:rPr>
      </w:pPr>
    </w:p>
    <w:p w14:paraId="654509D9" w14:textId="7E683760" w:rsidR="005155A5" w:rsidRPr="00114C46" w:rsidRDefault="005155A5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  <w:r w:rsidRPr="00114C46"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  <w:t xml:space="preserve">POLITICHE SPECIFICHE SULLA PARITÀ DI GENERE </w:t>
      </w:r>
    </w:p>
    <w:p w14:paraId="2497C671" w14:textId="77777777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Si tratta di politiche più specifiche sulla parità di genere e che forniscono gli input necessari per formulare il Piano Strategico per la parità di genere e per individuare, sviluppare e attuare le procedure specificamente dedicate alla parità di genere, in base al contesto di riferimento dell’organizzazione.</w:t>
      </w:r>
    </w:p>
    <w:p w14:paraId="6DA49326" w14:textId="77777777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Le policy per la parità di genere, sviluppate in relazione alla politica, sono relative ai temi del Piano strategico:</w:t>
      </w:r>
    </w:p>
    <w:p w14:paraId="5DADF830" w14:textId="77777777" w:rsidR="005155A5" w:rsidRPr="005155A5" w:rsidRDefault="005155A5" w:rsidP="005155A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Selezione ed assunzione (recruitment)</w:t>
      </w:r>
    </w:p>
    <w:p w14:paraId="76172C1D" w14:textId="77777777" w:rsidR="005155A5" w:rsidRPr="005155A5" w:rsidRDefault="005155A5" w:rsidP="005155A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Gestione della carriera</w:t>
      </w:r>
    </w:p>
    <w:p w14:paraId="72045D34" w14:textId="77777777" w:rsidR="005155A5" w:rsidRPr="005155A5" w:rsidRDefault="005155A5" w:rsidP="005155A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Equità salariale</w:t>
      </w:r>
    </w:p>
    <w:p w14:paraId="2C7879B8" w14:textId="77777777" w:rsidR="005155A5" w:rsidRPr="005155A5" w:rsidRDefault="005155A5" w:rsidP="005155A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Genitorialità, cura</w:t>
      </w:r>
    </w:p>
    <w:p w14:paraId="24E25BFD" w14:textId="77777777" w:rsidR="005155A5" w:rsidRPr="005155A5" w:rsidRDefault="005155A5" w:rsidP="005155A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Conciliazione dei tempi vita-lavoro (work-life balance)</w:t>
      </w:r>
    </w:p>
    <w:p w14:paraId="1AEFD214" w14:textId="77777777" w:rsidR="005155A5" w:rsidRPr="005155A5" w:rsidRDefault="005155A5" w:rsidP="005155A5">
      <w:pPr>
        <w:numPr>
          <w:ilvl w:val="0"/>
          <w:numId w:val="4"/>
        </w:num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Attività di prevenzione di ogni forma di abuso fisico, verbale, digitale (molestia) sui luoghi di lavoro</w:t>
      </w:r>
    </w:p>
    <w:p w14:paraId="7D5B0295" w14:textId="77777777" w:rsidR="005155A5" w:rsidRPr="005155A5" w:rsidRDefault="005155A5" w:rsidP="005155A5">
      <w:pPr>
        <w:spacing w:before="120" w:after="120" w:line="360" w:lineRule="auto"/>
        <w:ind w:left="720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</w:p>
    <w:p w14:paraId="50138786" w14:textId="0EB214D0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lastRenderedPageBreak/>
        <w:t xml:space="preserve">Nello specifico, gli impegni assunti da </w:t>
      </w:r>
      <w:r w:rsidR="00114C46" w:rsidRPr="00114C46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GSE SRL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sono:</w:t>
      </w:r>
    </w:p>
    <w:p w14:paraId="18430B21" w14:textId="77777777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i/>
          <w:iCs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  <w:t>Selezione ed assunzione (recruitment</w:t>
      </w:r>
      <w:r w:rsidRPr="005155A5">
        <w:rPr>
          <w:rFonts w:ascii="Calibri" w:eastAsia="Times New Roman" w:hAnsi="Calibri" w:cs="Calibri"/>
          <w:i/>
          <w:iCs/>
          <w:color w:val="002060"/>
          <w:kern w:val="0"/>
          <w:lang w:eastAsia="it-IT"/>
          <w14:ligatures w14:val="none"/>
        </w:rPr>
        <w:t>)</w:t>
      </w:r>
    </w:p>
    <w:p w14:paraId="45D7F89F" w14:textId="77777777" w:rsidR="00933BFC" w:rsidRDefault="00114C46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114C46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neutralità della selezione rispetto al genere</w:t>
      </w:r>
    </w:p>
    <w:p w14:paraId="1EDA6D67" w14:textId="37D1AD82" w:rsidR="00114C46" w:rsidRPr="00933BFC" w:rsidRDefault="00114C46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discrezione in questioni relative a matrimonio, gravidanza e responsabilità</w:t>
      </w:r>
      <w:r w:rsidR="00933BFC"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</w:t>
      </w:r>
      <w:r w:rsid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f</w:t>
      </w: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amiliari</w:t>
      </w:r>
    </w:p>
    <w:p w14:paraId="713548CF" w14:textId="3E2EBA23" w:rsidR="00114C46" w:rsidRPr="00933BFC" w:rsidRDefault="00114C46" w:rsidP="005F6302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presenza bilanciata di uomini e donne in organico</w:t>
      </w:r>
      <w:r w:rsid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e </w:t>
      </w: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nei ruoli con maggiore potere</w:t>
      </w:r>
    </w:p>
    <w:p w14:paraId="1C9530D9" w14:textId="57216632" w:rsidR="00114C46" w:rsidRPr="00933BFC" w:rsidRDefault="00114C46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neutralità della remunerazione riconosciuta ai ruoli rispetto al genere</w:t>
      </w:r>
    </w:p>
    <w:p w14:paraId="527FDB9B" w14:textId="24A1242A" w:rsidR="005155A5" w:rsidRDefault="005155A5" w:rsidP="00114C46">
      <w:pPr>
        <w:spacing w:before="120" w:after="120" w:line="360" w:lineRule="auto"/>
        <w:jc w:val="both"/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  <w:t>Gestione della carriera</w:t>
      </w:r>
    </w:p>
    <w:p w14:paraId="1A87E8CC" w14:textId="7777777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Il bilanciamento di genere nelle promozioni a ruoli gerarchici superiori</w:t>
      </w:r>
    </w:p>
    <w:p w14:paraId="6AFAA915" w14:textId="7777777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trasparenza della comunicazione nelle possibilità di carriera</w:t>
      </w:r>
    </w:p>
    <w:p w14:paraId="2D3575B4" w14:textId="7777777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libertà di espressione e benessere psicofisico nel luogo di lavoro</w:t>
      </w:r>
    </w:p>
    <w:p w14:paraId="20BB09D1" w14:textId="4C93DEFA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qualità della formazione somministrata per lo sviluppo delle competenze</w:t>
      </w: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</w:t>
      </w: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e della consapevolezza</w:t>
      </w:r>
    </w:p>
    <w:p w14:paraId="07256BBE" w14:textId="7777777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Il bilanciamento relativo al turnover di donne e uomini</w:t>
      </w:r>
    </w:p>
    <w:p w14:paraId="622C3AFE" w14:textId="77777777" w:rsid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  <w:t>Equità salariale</w:t>
      </w:r>
    </w:p>
    <w:p w14:paraId="58F662B6" w14:textId="78435A9A" w:rsidR="00933BFC" w:rsidRPr="00933BFC" w:rsidRDefault="00933BFC" w:rsidP="00761FA7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neutralità nella determinazione della retribuzione per le persone in</w:t>
      </w: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</w:t>
      </w: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relazione al genere</w:t>
      </w:r>
    </w:p>
    <w:p w14:paraId="7F35BD06" w14:textId="7777777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trasparenza relativa all’ammontare della retribuzione dello staff</w:t>
      </w:r>
    </w:p>
    <w:p w14:paraId="4BA1985F" w14:textId="7777777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trasparenza relativa ai criteri per la determinazione di premi e benefit</w:t>
      </w:r>
    </w:p>
    <w:p w14:paraId="115F64D5" w14:textId="7777777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possibilità dell’organico di segnalare episodi di disparità</w:t>
      </w:r>
    </w:p>
    <w:p w14:paraId="0F3EDA89" w14:textId="0039ABB3" w:rsid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  <w:t>Genitorialità</w:t>
      </w:r>
    </w:p>
    <w:p w14:paraId="261BF606" w14:textId="57C8423D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I programmi di formazione, informazione e re-inserimento per la maternità e</w:t>
      </w: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</w:t>
      </w: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paternità</w:t>
      </w:r>
    </w:p>
    <w:p w14:paraId="19BA1B40" w14:textId="7777777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L’attenzione rivolta alla maternità prima, durante e dopo la nascita</w:t>
      </w:r>
    </w:p>
    <w:p w14:paraId="7FAD81D7" w14:textId="3C5FD578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L’efficacia con cui viene promosso il congedo parentale per gli uomini</w:t>
      </w: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</w:t>
      </w: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(paternità)</w:t>
      </w:r>
    </w:p>
    <w:p w14:paraId="493BB334" w14:textId="4D3C50A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La qualità delle iniziative di </w:t>
      </w:r>
      <w:proofErr w:type="spellStart"/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ri</w:t>
      </w:r>
      <w:proofErr w:type="spellEnd"/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-orientamento per chi rientra dal congedo di</w:t>
      </w: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</w:t>
      </w: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maternità/paternità</w:t>
      </w:r>
    </w:p>
    <w:p w14:paraId="6A35DB8E" w14:textId="77777777" w:rsid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  <w:t>Conciliazione dei tempi vita-lavoro (work-life balance)</w:t>
      </w:r>
    </w:p>
    <w:p w14:paraId="707FAD7D" w14:textId="77777777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Le attività di sostegno per coloro che esercitano la funzione di caregiver</w:t>
      </w:r>
    </w:p>
    <w:p w14:paraId="6D2F96DC" w14:textId="4631A0D6" w:rsidR="00933BFC" w:rsidRPr="00933BFC" w:rsidRDefault="00933BFC" w:rsidP="00933BF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L’o</w:t>
      </w: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pportunità di gestire il proprio orario di lavoro </w:t>
      </w: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</w:t>
      </w:r>
      <w:r w:rsidR="00FE7410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sostegno dei</w:t>
      </w: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 figli del personale</w:t>
      </w:r>
    </w:p>
    <w:p w14:paraId="19155593" w14:textId="77777777" w:rsid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  <w:t>Attività di prevenzione di ogni forma di abuso fisico, verbale, digitale (molestia) sui luoghi di lavoro</w:t>
      </w:r>
    </w:p>
    <w:p w14:paraId="32B4D6C4" w14:textId="6CD4A9AC" w:rsidR="00FE7410" w:rsidRPr="00933BFC" w:rsidRDefault="00FE7410" w:rsidP="00FE7410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933BFC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La possibilità dell’organico di segnalare </w:t>
      </w:r>
      <w:r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anche in forma anonima ogni forma di abuso</w:t>
      </w:r>
    </w:p>
    <w:p w14:paraId="4B193CD0" w14:textId="77777777" w:rsidR="00933BFC" w:rsidRPr="005155A5" w:rsidRDefault="00933BFC" w:rsidP="005155A5">
      <w:pPr>
        <w:spacing w:before="120" w:after="120" w:line="360" w:lineRule="auto"/>
        <w:jc w:val="both"/>
        <w:rPr>
          <w:rFonts w:ascii="Calibri" w:eastAsia="Times New Roman" w:hAnsi="Calibri" w:cs="Calibri"/>
          <w:i/>
          <w:iCs/>
          <w:color w:val="002060"/>
          <w:kern w:val="0"/>
          <w:u w:val="single"/>
          <w:lang w:eastAsia="it-IT"/>
          <w14:ligatures w14:val="none"/>
        </w:rPr>
      </w:pPr>
    </w:p>
    <w:p w14:paraId="009F9224" w14:textId="77777777" w:rsidR="005155A5" w:rsidRPr="00633683" w:rsidRDefault="005155A5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  <w:r w:rsidRPr="00633683"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  <w:t xml:space="preserve">MONITORAGGIO E ATTUAZIONE DELLA POLITICA </w:t>
      </w:r>
    </w:p>
    <w:p w14:paraId="04B61A77" w14:textId="77777777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 xml:space="preserve">La Politica generale sulla parità di genere e quella collegata, nel quadro più ampio delle linee programmatiche dell’organizzazione, prevede, ai fini di valutarne l’idoneità e la necessità di effettuare </w:t>
      </w: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lastRenderedPageBreak/>
        <w:t>modifiche o integrazioni, congiuntamente al Comitato Guida per la Parità di Genere, la definizione e il Riesame periodico degli obiettivi sulla parità di genere.</w:t>
      </w:r>
    </w:p>
    <w:p w14:paraId="40E97884" w14:textId="77777777" w:rsidR="00FE7410" w:rsidRDefault="00FE7410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</w:p>
    <w:p w14:paraId="5922013A" w14:textId="357E149C" w:rsidR="005155A5" w:rsidRPr="00633683" w:rsidRDefault="005155A5" w:rsidP="005155A5">
      <w:pPr>
        <w:tabs>
          <w:tab w:val="left" w:pos="1120"/>
        </w:tabs>
        <w:spacing w:before="60" w:after="120" w:line="360" w:lineRule="auto"/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</w:pPr>
      <w:r w:rsidRPr="00633683">
        <w:rPr>
          <w:rFonts w:asciiTheme="majorHAnsi" w:eastAsia="Times New Roman" w:hAnsiTheme="majorHAnsi" w:cstheme="majorHAnsi"/>
          <w:b/>
          <w:color w:val="33CC33"/>
          <w:kern w:val="0"/>
          <w:lang w:eastAsia="it-IT"/>
          <w14:ligatures w14:val="none"/>
        </w:rPr>
        <w:t xml:space="preserve">DIFFUSIONE DELLA POLITICA </w:t>
      </w:r>
    </w:p>
    <w:p w14:paraId="0895E3AD" w14:textId="77777777" w:rsidR="005155A5" w:rsidRPr="005155A5" w:rsidRDefault="005155A5" w:rsidP="005155A5">
      <w:pPr>
        <w:spacing w:before="120" w:after="120" w:line="360" w:lineRule="auto"/>
        <w:jc w:val="both"/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</w:pPr>
      <w:r w:rsidRPr="005155A5">
        <w:rPr>
          <w:rFonts w:ascii="Calibri" w:eastAsia="Times New Roman" w:hAnsi="Calibri" w:cs="Calibri"/>
          <w:color w:val="002060"/>
          <w:kern w:val="0"/>
          <w:lang w:eastAsia="it-IT"/>
          <w14:ligatures w14:val="none"/>
        </w:rPr>
        <w:t>La politica sulla parità di genere è comunicata e diffusa a tutto il personale e alle parti interessate mediante la comunicazione interna e la pubblicazione sul sito istituzionale.</w:t>
      </w:r>
    </w:p>
    <w:p w14:paraId="6967624C" w14:textId="32569553" w:rsidR="005155A5" w:rsidRPr="005155A5" w:rsidRDefault="005155A5" w:rsidP="005155A5">
      <w:pPr>
        <w:ind w:left="-567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it-IT"/>
          <w14:ligatures w14:val="none"/>
        </w:rPr>
      </w:pPr>
    </w:p>
    <w:sectPr w:rsidR="005155A5" w:rsidRPr="005155A5" w:rsidSect="005155A5">
      <w:headerReference w:type="default" r:id="rId9"/>
      <w:footerReference w:type="default" r:id="rId10"/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0E93" w14:textId="77777777" w:rsidR="00ED138F" w:rsidRDefault="00ED138F" w:rsidP="009E024F">
      <w:r>
        <w:separator/>
      </w:r>
    </w:p>
  </w:endnote>
  <w:endnote w:type="continuationSeparator" w:id="0">
    <w:p w14:paraId="06CC2E47" w14:textId="77777777" w:rsidR="00ED138F" w:rsidRDefault="00ED138F" w:rsidP="009E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EF3F" w14:textId="128FE659" w:rsidR="009E024F" w:rsidRDefault="009E024F">
    <w:pPr>
      <w:pStyle w:val="Pidipagina"/>
    </w:pPr>
  </w:p>
  <w:p w14:paraId="1C83E4F7" w14:textId="3584A598" w:rsidR="009E024F" w:rsidRDefault="00CD326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2DF45" wp14:editId="469595A4">
              <wp:simplePos x="0" y="0"/>
              <wp:positionH relativeFrom="column">
                <wp:posOffset>-348615</wp:posOffset>
              </wp:positionH>
              <wp:positionV relativeFrom="paragraph">
                <wp:posOffset>221615</wp:posOffset>
              </wp:positionV>
              <wp:extent cx="6838950" cy="19050"/>
              <wp:effectExtent l="0" t="0" r="19050" b="1905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16305" y="0"/>
                  <wp:lineTo x="0" y="0"/>
                </wp:wrapPolygon>
              </wp:wrapThrough>
              <wp:docPr id="1926917741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68ECBE" id="Connettore 1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5pt,17.45pt" to="511.0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" strokecolor="black [3213]" strokeweight=".5pt">
              <v:stroke joinstyle="miter"/>
              <w10:wrap type="through"/>
            </v:line>
          </w:pict>
        </mc:Fallback>
      </mc:AlternateContent>
    </w:r>
    <w:r w:rsidR="009A197A" w:rsidRPr="009E024F">
      <w:rPr>
        <w:noProof/>
      </w:rPr>
      <w:drawing>
        <wp:anchor distT="0" distB="0" distL="114300" distR="114300" simplePos="0" relativeHeight="251661312" behindDoc="0" locked="0" layoutInCell="1" allowOverlap="1" wp14:anchorId="0B2F90F6" wp14:editId="10B35C30">
          <wp:simplePos x="0" y="0"/>
          <wp:positionH relativeFrom="column">
            <wp:posOffset>-310515</wp:posOffset>
          </wp:positionH>
          <wp:positionV relativeFrom="paragraph">
            <wp:posOffset>326444</wp:posOffset>
          </wp:positionV>
          <wp:extent cx="2000250" cy="458983"/>
          <wp:effectExtent l="0" t="0" r="0" b="0"/>
          <wp:wrapNone/>
          <wp:docPr id="13589061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2826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2" cy="460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0427B" w14:textId="755BC2E3" w:rsidR="009E024F" w:rsidRDefault="009A197A">
    <w:pPr>
      <w:pStyle w:val="Pidipagina"/>
    </w:pPr>
    <w:r w:rsidRPr="009E024F">
      <w:rPr>
        <w:noProof/>
      </w:rPr>
      <w:drawing>
        <wp:anchor distT="0" distB="0" distL="114300" distR="114300" simplePos="0" relativeHeight="251662336" behindDoc="0" locked="0" layoutInCell="1" allowOverlap="1" wp14:anchorId="3299F461" wp14:editId="0FB954CF">
          <wp:simplePos x="0" y="0"/>
          <wp:positionH relativeFrom="column">
            <wp:posOffset>4890135</wp:posOffset>
          </wp:positionH>
          <wp:positionV relativeFrom="paragraph">
            <wp:posOffset>307975</wp:posOffset>
          </wp:positionV>
          <wp:extent cx="1611630" cy="299085"/>
          <wp:effectExtent l="0" t="0" r="0" b="0"/>
          <wp:wrapThrough wrapText="bothSides">
            <wp:wrapPolygon edited="0">
              <wp:start x="5617" y="2752"/>
              <wp:lineTo x="3064" y="8255"/>
              <wp:lineTo x="3064" y="16510"/>
              <wp:lineTo x="4596" y="16510"/>
              <wp:lineTo x="18638" y="13758"/>
              <wp:lineTo x="20426" y="12382"/>
              <wp:lineTo x="19660" y="2752"/>
              <wp:lineTo x="5617" y="2752"/>
            </wp:wrapPolygon>
          </wp:wrapThrough>
          <wp:docPr id="14854076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6924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3F28" w14:textId="77777777" w:rsidR="00ED138F" w:rsidRDefault="00ED138F" w:rsidP="009E024F">
      <w:r>
        <w:separator/>
      </w:r>
    </w:p>
  </w:footnote>
  <w:footnote w:type="continuationSeparator" w:id="0">
    <w:p w14:paraId="2C581910" w14:textId="77777777" w:rsidR="00ED138F" w:rsidRDefault="00ED138F" w:rsidP="009E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C893" w14:textId="48727AA8" w:rsidR="009E024F" w:rsidRDefault="009E024F">
    <w:pPr>
      <w:pStyle w:val="Intestazione"/>
    </w:pPr>
    <w:r w:rsidRPr="009E024F">
      <w:rPr>
        <w:noProof/>
      </w:rPr>
      <w:drawing>
        <wp:anchor distT="0" distB="0" distL="114300" distR="114300" simplePos="0" relativeHeight="251659264" behindDoc="0" locked="0" layoutInCell="1" allowOverlap="1" wp14:anchorId="3A4F35BD" wp14:editId="16BF08F8">
          <wp:simplePos x="0" y="0"/>
          <wp:positionH relativeFrom="column">
            <wp:posOffset>-440055</wp:posOffset>
          </wp:positionH>
          <wp:positionV relativeFrom="paragraph">
            <wp:posOffset>-237688</wp:posOffset>
          </wp:positionV>
          <wp:extent cx="2372321" cy="953819"/>
          <wp:effectExtent l="0" t="0" r="0" b="0"/>
          <wp:wrapNone/>
          <wp:docPr id="13307635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972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21" cy="953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24F">
      <w:rPr>
        <w:noProof/>
      </w:rPr>
      <w:drawing>
        <wp:anchor distT="0" distB="0" distL="114300" distR="114300" simplePos="0" relativeHeight="251658240" behindDoc="0" locked="0" layoutInCell="1" allowOverlap="1" wp14:anchorId="5202F744" wp14:editId="02D80130">
          <wp:simplePos x="0" y="0"/>
          <wp:positionH relativeFrom="column">
            <wp:posOffset>3090122</wp:posOffset>
          </wp:positionH>
          <wp:positionV relativeFrom="paragraph">
            <wp:posOffset>-203624</wp:posOffset>
          </wp:positionV>
          <wp:extent cx="3454400" cy="927100"/>
          <wp:effectExtent l="0" t="0" r="0" b="0"/>
          <wp:wrapNone/>
          <wp:docPr id="1361899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85917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4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01FAE" w14:textId="4AB6D3C7" w:rsidR="009E024F" w:rsidRDefault="009E024F">
    <w:pPr>
      <w:pStyle w:val="Intestazione"/>
    </w:pPr>
  </w:p>
  <w:p w14:paraId="26923EDB" w14:textId="1701FCD4" w:rsidR="009E024F" w:rsidRDefault="009E024F">
    <w:pPr>
      <w:pStyle w:val="Intestazione"/>
    </w:pPr>
  </w:p>
  <w:p w14:paraId="41E507CD" w14:textId="2C6A4DE6" w:rsidR="009E024F" w:rsidRDefault="009E024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D87B1" wp14:editId="3C7E74D6">
              <wp:simplePos x="0" y="0"/>
              <wp:positionH relativeFrom="column">
                <wp:posOffset>-347557</wp:posOffset>
              </wp:positionH>
              <wp:positionV relativeFrom="paragraph">
                <wp:posOffset>219922</wp:posOffset>
              </wp:positionV>
              <wp:extent cx="6891444" cy="6985"/>
              <wp:effectExtent l="0" t="0" r="24130" b="31115"/>
              <wp:wrapNone/>
              <wp:docPr id="710213524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1444" cy="698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44BDA7" id="Connettore 1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35pt,17.3pt" to="515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" strokecolor="black [3213]" strokeweight=".5pt">
              <v:stroke joinstyle="miter"/>
            </v:line>
          </w:pict>
        </mc:Fallback>
      </mc:AlternateContent>
    </w:r>
  </w:p>
  <w:p w14:paraId="2FDE3EC6" w14:textId="3C6FE9D4" w:rsidR="009E024F" w:rsidRDefault="009E02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726"/>
    <w:multiLevelType w:val="hybridMultilevel"/>
    <w:tmpl w:val="DE1EDC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94FC1"/>
    <w:multiLevelType w:val="hybridMultilevel"/>
    <w:tmpl w:val="929AAC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739C"/>
    <w:multiLevelType w:val="hybridMultilevel"/>
    <w:tmpl w:val="51C0817C"/>
    <w:lvl w:ilvl="0" w:tplc="EE7A6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C1934"/>
    <w:multiLevelType w:val="hybridMultilevel"/>
    <w:tmpl w:val="1E368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E3003"/>
    <w:multiLevelType w:val="hybridMultilevel"/>
    <w:tmpl w:val="7A743B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DDCECF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37F99"/>
    <w:multiLevelType w:val="hybridMultilevel"/>
    <w:tmpl w:val="AD785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024382">
    <w:abstractNumId w:val="0"/>
  </w:num>
  <w:num w:numId="2" w16cid:durableId="130099016">
    <w:abstractNumId w:val="1"/>
  </w:num>
  <w:num w:numId="3" w16cid:durableId="532810421">
    <w:abstractNumId w:val="4"/>
  </w:num>
  <w:num w:numId="4" w16cid:durableId="1796755485">
    <w:abstractNumId w:val="3"/>
  </w:num>
  <w:num w:numId="5" w16cid:durableId="2114472837">
    <w:abstractNumId w:val="5"/>
  </w:num>
  <w:num w:numId="6" w16cid:durableId="117541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4F"/>
    <w:rsid w:val="0003291B"/>
    <w:rsid w:val="00032DE2"/>
    <w:rsid w:val="00042BF0"/>
    <w:rsid w:val="0008233C"/>
    <w:rsid w:val="000D1BC3"/>
    <w:rsid w:val="00114C46"/>
    <w:rsid w:val="00124AFA"/>
    <w:rsid w:val="001370B0"/>
    <w:rsid w:val="001405A9"/>
    <w:rsid w:val="00152C34"/>
    <w:rsid w:val="001D4176"/>
    <w:rsid w:val="001F3400"/>
    <w:rsid w:val="00211B91"/>
    <w:rsid w:val="0021548C"/>
    <w:rsid w:val="002F5A37"/>
    <w:rsid w:val="003138D3"/>
    <w:rsid w:val="00327DCC"/>
    <w:rsid w:val="00351860"/>
    <w:rsid w:val="003669F4"/>
    <w:rsid w:val="00366A89"/>
    <w:rsid w:val="003B2480"/>
    <w:rsid w:val="003C1BB0"/>
    <w:rsid w:val="003F2739"/>
    <w:rsid w:val="00440826"/>
    <w:rsid w:val="00465513"/>
    <w:rsid w:val="00497AB4"/>
    <w:rsid w:val="005155A5"/>
    <w:rsid w:val="00555C27"/>
    <w:rsid w:val="00565667"/>
    <w:rsid w:val="00585D2C"/>
    <w:rsid w:val="00597923"/>
    <w:rsid w:val="005A43F7"/>
    <w:rsid w:val="005A5CD9"/>
    <w:rsid w:val="005B1DD5"/>
    <w:rsid w:val="005B4909"/>
    <w:rsid w:val="005C08AE"/>
    <w:rsid w:val="005C5194"/>
    <w:rsid w:val="005E47A4"/>
    <w:rsid w:val="005E7C90"/>
    <w:rsid w:val="00633683"/>
    <w:rsid w:val="00647C53"/>
    <w:rsid w:val="00650F2E"/>
    <w:rsid w:val="0065151F"/>
    <w:rsid w:val="006527D7"/>
    <w:rsid w:val="00693647"/>
    <w:rsid w:val="006977AF"/>
    <w:rsid w:val="00751453"/>
    <w:rsid w:val="00757913"/>
    <w:rsid w:val="007965BB"/>
    <w:rsid w:val="007A3052"/>
    <w:rsid w:val="007B7136"/>
    <w:rsid w:val="007D2014"/>
    <w:rsid w:val="007D5798"/>
    <w:rsid w:val="007E104B"/>
    <w:rsid w:val="007E48B5"/>
    <w:rsid w:val="008110FF"/>
    <w:rsid w:val="00836CD6"/>
    <w:rsid w:val="008855C2"/>
    <w:rsid w:val="008C2406"/>
    <w:rsid w:val="008C4864"/>
    <w:rsid w:val="008D7443"/>
    <w:rsid w:val="009322A7"/>
    <w:rsid w:val="00933BFC"/>
    <w:rsid w:val="00957BC6"/>
    <w:rsid w:val="00960674"/>
    <w:rsid w:val="00963CFD"/>
    <w:rsid w:val="00985A6F"/>
    <w:rsid w:val="00990287"/>
    <w:rsid w:val="009A197A"/>
    <w:rsid w:val="009B6A2A"/>
    <w:rsid w:val="009E024F"/>
    <w:rsid w:val="00A17ED5"/>
    <w:rsid w:val="00A35BE3"/>
    <w:rsid w:val="00A435E2"/>
    <w:rsid w:val="00A70F51"/>
    <w:rsid w:val="00A83B09"/>
    <w:rsid w:val="00AA6A3B"/>
    <w:rsid w:val="00AB26EB"/>
    <w:rsid w:val="00AF6864"/>
    <w:rsid w:val="00B13A8F"/>
    <w:rsid w:val="00B2452B"/>
    <w:rsid w:val="00B3685A"/>
    <w:rsid w:val="00B81CFE"/>
    <w:rsid w:val="00BA58E3"/>
    <w:rsid w:val="00BB4C5C"/>
    <w:rsid w:val="00BC2B9B"/>
    <w:rsid w:val="00C22516"/>
    <w:rsid w:val="00C31AD0"/>
    <w:rsid w:val="00C5563A"/>
    <w:rsid w:val="00C74597"/>
    <w:rsid w:val="00CC61BF"/>
    <w:rsid w:val="00CD326C"/>
    <w:rsid w:val="00CD63ED"/>
    <w:rsid w:val="00CE32AF"/>
    <w:rsid w:val="00D11F51"/>
    <w:rsid w:val="00DD5C6C"/>
    <w:rsid w:val="00E26B33"/>
    <w:rsid w:val="00EB6D01"/>
    <w:rsid w:val="00EC084C"/>
    <w:rsid w:val="00ED10C3"/>
    <w:rsid w:val="00ED138F"/>
    <w:rsid w:val="00F556D4"/>
    <w:rsid w:val="00F65CE3"/>
    <w:rsid w:val="00F80790"/>
    <w:rsid w:val="00FE4923"/>
    <w:rsid w:val="00FE7410"/>
    <w:rsid w:val="00FF08C8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BDCCA"/>
  <w15:chartTrackingRefBased/>
  <w15:docId w15:val="{A23FB294-F849-6448-A3DA-B10786E3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02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24F"/>
  </w:style>
  <w:style w:type="paragraph" w:styleId="Pidipagina">
    <w:name w:val="footer"/>
    <w:basedOn w:val="Normale"/>
    <w:link w:val="PidipaginaCarattere"/>
    <w:uiPriority w:val="99"/>
    <w:unhideWhenUsed/>
    <w:rsid w:val="009E02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24F"/>
  </w:style>
  <w:style w:type="table" w:styleId="Grigliatabella">
    <w:name w:val="Table Grid"/>
    <w:basedOn w:val="Tabellanormale"/>
    <w:uiPriority w:val="39"/>
    <w:rsid w:val="0046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E32A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2A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3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7B0488-C4C1-8842-89FA-43A0BBA7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7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Urio</dc:creator>
  <cp:keywords/>
  <dc:description/>
  <cp:lastModifiedBy>Alexia Urio</cp:lastModifiedBy>
  <cp:revision>48</cp:revision>
  <cp:lastPrinted>2026-05-12T08:54:00Z</cp:lastPrinted>
  <dcterms:created xsi:type="dcterms:W3CDTF">2024-07-31T19:46:00Z</dcterms:created>
  <dcterms:modified xsi:type="dcterms:W3CDTF">2026-05-12T08:55:00Z</dcterms:modified>
</cp:coreProperties>
</file>